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ZVsG — Geltung von Regelungen</w:t>
      </w:r>
    </w:p>
    <w:p>
      <w:r>
        <w:rPr>
          <w:color w:val="555555"/>
          <w:sz w:val="18"/>
        </w:rPr>
        <w:t xml:space="preserve">Zusatzversorgungssystem-Gleichstellungsgesetz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nach diesem Gesetz gleichgestellten Ansprüche und Anwartschaften sind die Vorschriften des Gesetzes zur Überführung der Ansprüche und Anwartschaften aus Zusatz- und Sonderversorgungssystemen des Beitrittsgebiets (Anspruchs- und Anwartschaftsüberführungsgesetz) anzuwenden, soweit sich aus den nachfolgenden Vorschriften nicht etwas anderes ergibt. Die Vorschriften des Ersten Abschnitts des Dritten Kapitels des Sechsten Buches Sozialgesetzbuch sind anzuwenden; § 8 Abs. 6 Satz 5 des Anspruchs- und Anwartschaftsüberführungsgesetzes ist entsprechend anzuwenden.</w:t>
      </w:r>
    </w:p>
    <w:p>
      <w:r>
        <w:rPr>
          <w:color w:val="555555"/>
          <w:sz w:val="17"/>
        </w:rPr>
        <w:t xml:space="preserve">Zitiervorschlag: § 5 ZVsG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