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ZVerkV 1998 — Straftaten und Ordnungswidrigkeiten</w:t>
      </w:r>
    </w:p>
    <w:p>
      <w:r>
        <w:rPr>
          <w:color w:val="555555"/>
          <w:sz w:val="18"/>
        </w:rPr>
        <w:t xml:space="preserve">Zusatzstoff-Verkehrsverordnung</w:t>
      </w:r>
    </w:p>
    <w:p>
      <w:r>
        <w:rPr>
          <w:color w:val="555555"/>
          <w:sz w:val="18"/>
        </w:rPr>
        <w:t xml:space="preserve">Historische Fassung: Stand 10.06.2019 bis 09.06.2021. Dies ist nicht die aktuelle Fassung.</w:t>
      </w:r>
    </w:p>
    <w:p>
      <w:r>
        <w:t xml:space="preserve">(1) Nach § 58 Abs. 1 Nr. 18, Abs. 4 bis 6 des Lebensmittel- und Futtermittelgesetzbuches wird bestraft, wer vorsätzlich oder fahrlässig</w:t>
      </w:r>
    </w:p>
    <w:p>
      <w:pPr>
        <w:ind w:left="420"/>
      </w:pPr>
      <w:r>
        <w:t xml:space="preserve">1. entgegen § 5 Abs. 2 oder 3 Essigsäure oder einen dort genannten Farbstoff abgibt,</w:t>
      </w:r>
    </w:p>
    <w:p>
      <w:pPr>
        <w:ind w:left="420"/>
      </w:pPr>
      <w:r>
        <w:t xml:space="preserve">2. entgegen § 5 Abs. 5 Satz 4 Nitritpökelsalz herstellt oder</w:t>
      </w:r>
    </w:p>
    <w:p>
      <w:pPr>
        <w:ind w:left="420"/>
      </w:pPr>
      <w:r>
        <w:t xml:space="preserve">3. entgegen § 5 Abs. 6 Ethylenoxid verwendet.</w:t>
      </w:r>
    </w:p>
    <w:p>
      <w:r>
        <w:t xml:space="preserve">(2) Nach § 59 Abs. 1 Nr. 21 Buchstabe a des Lebensmittel- und Futtermittelgesetzbuches wird bestraft, wer</w:t>
      </w:r>
    </w:p>
    <w:p>
      <w:pPr>
        <w:ind w:left="420"/>
      </w:pPr>
      <w:r>
        <w:t xml:space="preserve">1. entgegen § 5 Abs. 4 Satz 1 Nitrite in einen dort bezeichneten Betrieb verbringt oder dort aufbewahrt oder lagert,</w:t>
      </w:r>
    </w:p>
    <w:p>
      <w:pPr>
        <w:ind w:left="420"/>
      </w:pPr>
      <w:r>
        <w:t xml:space="preserve">2. ohne Genehmigung nach § 5 Abs. 5 Satz 1 Nitritpökelsalz herstellt oder</w:t>
      </w:r>
    </w:p>
    <w:p>
      <w:pPr>
        <w:ind w:left="420"/>
      </w:pPr>
      <w:r>
        <w:t xml:space="preserve">3. entgegen § 6 Abs. 3 dort aufgeführte Stoffe oder Stoffgemische gewerbsmäßig in den Verkehr bringt, aufbewahrt, lagert oder gebraucht.</w:t>
      </w:r>
    </w:p>
    <w:p>
      <w:r>
        <w:t xml:space="preserve">(3) Nach § 59 Abs. 1 Nr. 21 Buchstabe a des Lebensmittel- und Futtermittelgesetzbuches wird bestraft, wer entgegen § 5 Abs. 1 dort bezeichnete Stoffe verwendet.</w:t>
      </w:r>
    </w:p>
    <w:p>
      <w:r>
        <w:t xml:space="preserve">(4) Wer eine in Absatz 2 oder 3 bezeichnete Handlung fahrlässig begeht, handelt nach § 60 Abs. 1 des Lebensmittel- und Futtermittelgesetzbuches ordnungswidrig.</w:t>
      </w:r>
    </w:p>
    <w:p>
      <w:r>
        <w:t xml:space="preserve">(5) Ordnungswidrig im Sinne des § 60 Absatz 4 Nummer 2 Buchstabe a des Lebensmittel- und Futtermittelgesetzbuches handelt, wer vorsätzlich oder fahrlässig entgegen Artikel 21 Absatz 1 Satz 1 in Verbindung mit Artikel 22 Absatz 1, 2 oder Absatz 3 oder entgegen Artikel 23 Absatz 1 der Verordnung (EG) Nr. 1333/2008 des Europäischen Parlamentes und des Rates vom 16. Dezember 2008 über Lebensmittelzusatzstoffe (ABl. L 354 vom 31.12.2008, S. 16) einen Lebensmittelzusatzstoff in den Verkehr bringt.</w:t>
      </w:r>
    </w:p>
    <w:p>
      <w:r>
        <w:rPr>
          <w:color w:val="555555"/>
          <w:sz w:val="17"/>
        </w:rPr>
        <w:t xml:space="preserve">Zitiervorschlag: § 7 ZVerkV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https://recht.nulegal.eu/gesetze/ZVerkV%201998/7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