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ZVTranspRL (Nordrhein-Westfalen)</w:t>
      </w:r>
    </w:p>
    <w:p>
      <w:r>
        <w:rPr>
          <w:color w:val="555555"/>
          <w:sz w:val="18"/>
        </w:rPr>
        <w:t xml:space="preserve">Transparenzrichtlinie-Zuständigkeitsverordnung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24. Juni 2003</w:t>
      </w:r>
    </w:p>
    <w:p>
      <w:r>
        <w:t xml:space="preserve">Aufgrund des § 5 Abs. 2 Satz 1 Transparenzrichtlinie-Gesetz (TranspRLG) vom 16. August 2001 (BGBl. I S. 2141) wird verordnet:</w:t>
      </w:r>
    </w:p>
    <w:p>
      <w:r>
        <w:rPr>
          <w:color w:val="555555"/>
          <w:sz w:val="17"/>
        </w:rPr>
        <w:t xml:space="preserve">Zitiervorschlag: Volltext ZVTranspRL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https://recht.nulegal.eu/gesetze/ZVTranspRL/volltext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