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ZVTranspRL (Nordrhein-Westfalen)</w:t>
      </w:r>
    </w:p>
    <w:p>
      <w:r>
        <w:rPr>
          <w:color w:val="555555"/>
          <w:sz w:val="18"/>
        </w:rPr>
        <w:t xml:space="preserve">Transparenzrichtlinie-Zuständigkeitsverordnung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Wirtschaft und Arbeit</w:t>
      </w:r>
    </w:p>
    <w:p>
      <w:r>
        <w:t xml:space="preserve">Die Ministerin</w:t>
      </w:r>
    </w:p>
    <w:p>
      <w:r>
        <w:t xml:space="preserve">für Schule, Jugend und Kinder</w:t>
      </w:r>
    </w:p>
    <w:p>
      <w:r>
        <w:rPr>
          <w:color w:val="555555"/>
          <w:sz w:val="17"/>
        </w:rPr>
        <w:t xml:space="preserve">Zitiervorschlag: § 3 ZVTranspRL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https://recht.nulegal.eu/gesetze/ZVTranspRL/3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