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ZVSAusbV — Begriffsbestimmungen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Abweichungen im Sinne dieser Verordnung sind alle Änderungen der Planung des Eisenbahnbetriebs, wie zum Beispiel ein Gleiswechsel oder eine Umleitung.</w:t>
      </w:r>
    </w:p>
    <w:p>
      <w:r>
        <w:t xml:space="preserve">(2) Störungen im Sinne dieser Verordnung sind unerwartete technische Ereignisse im Eisenbahnbetrieb, die die Sicherheit des Eisenbahnbetriebs beeinträchtigen können, wie zum Beispiel eine Signalstörung oder eine Störung am Fahrzeug.</w:t>
      </w:r>
    </w:p>
    <w:p>
      <w:r>
        <w:rPr>
          <w:color w:val="555555"/>
          <w:sz w:val="17"/>
        </w:rPr>
        <w:t xml:space="preserve">Zitiervorschlag: § 3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