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ZVSAusbV — Prüfungsbereiche des Teiles 2</w:t>
      </w:r>
    </w:p>
    <w:p>
      <w:r>
        <w:rPr>
          <w:color w:val="555555"/>
          <w:sz w:val="18"/>
        </w:rPr>
        <w:t xml:space="preserve">Zugverkehrssteuerungsausbildungsverordnung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„Abweichungen vom Regelbetrieb“,</w:t>
      </w:r>
    </w:p>
    <w:p>
      <w:pPr>
        <w:ind w:left="420"/>
      </w:pPr>
      <w:r>
        <w:t xml:space="preserve">2. „Störungen im Eisenbahnbetrieb“ sowie</w:t>
      </w:r>
    </w:p>
    <w:p>
      <w:pPr>
        <w:ind w:left="420"/>
      </w:pPr>
      <w:r>
        <w:t xml:space="preserve">3. „Wirtschafts- und Sozialkunde“.</w:t>
      </w:r>
    </w:p>
    <w:p>
      <w:r>
        <w:rPr>
          <w:color w:val="555555"/>
          <w:sz w:val="17"/>
        </w:rPr>
        <w:t xml:space="preserve">Zitiervorschlag: § 13 ZVSAusbV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https://recht.nulegal.eu/gesetze/ZVSAusbV/13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