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ZVO-Preise (Sachsen)</w:t>
      </w:r>
    </w:p>
    <w:p>
      <w:r>
        <w:rPr>
          <w:color w:val="555555"/>
          <w:sz w:val="18"/>
        </w:rPr>
        <w:t xml:space="preserve">Verordnung der Staatsregierung des Freistaates Sachsen über die Zuständigkeit auf den Gebieten der Preisbildung, Preisprüfung und Preisangaben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Ausübung der preisrechtlichen Befugnisse auf dem Gebiet der Preisbildung und Preisprüfung sind in folgenden Fällen die Regierungspräsidien zuständig:</w:t>
      </w:r>
    </w:p>
    <w:p>
      <w:r>
        <w:t xml:space="preserve">1. Prüfung der Zulässigkeit von Preisen für öffentliche Aufträge</w:t>
      </w:r>
    </w:p>
    <w:p>
      <w:r>
        <w:t xml:space="preserve">–</w:t>
      </w:r>
    </w:p>
    <w:p>
      <w:r>
        <w:t xml:space="preserve">nach § 9 der Verordnung über die Preise bei öffentlichen Aufträgen (Verordnung PR Nr. 30/53) vom 21. November 1953 (BAnz. Nr. 244), zuletzt geändert durch die Verordnung zur Änderung preisrechtlicher Vorschriften (Verordnung PR Nr. 1/89) vom 13. Juni 1989 (BGBl I S. 1094),</w:t>
      </w:r>
    </w:p>
    <w:p>
      <w:r>
        <w:t xml:space="preserve">–</w:t>
      </w:r>
    </w:p>
    <w:p>
      <w:r>
        <w:t xml:space="preserve">nach § 16 der Verordnung über Preise für Bauleistungen bei öffentlichen oder mit öffentlichen Mitteln finanzierten Aufträgen (Verordnung PR Nr. 1/72) vom 06. März 1972 (BGBl. I S. 293), zuletzt geändert durch die Verordnung PR Nr. 1/89 sowie die Angemessenheit von Selbstkostenpreisen nach § 17 Abs. 1 der Verordnung PR Nr. 1/72,</w:t>
      </w:r>
    </w:p>
    <w:p>
      <w:r>
        <w:t xml:space="preserve">2. Genehmigung von Unter- und Überschreitungen der Tarife im öffentlichen Personennahverkehr gemäß § 11 des Personenbeförderungsgesetzes i. d. F. vom 8. August 1990 (BGBl. I S. 1690) und § 3 der ersten Verordnung der Landesregierung über Beförderungsentgelte im öffentlichen Personennahverkehr (1. Verkehrstarifverordnung) vom 12. Februar 1991 (SächsGVBl. S. 33),</w:t>
      </w:r>
    </w:p>
    <w:p>
      <w:r>
        <w:t xml:space="preserve">3. Genehmigung von Unter- und Überschreitungen der Tarife im Güternahverkehr nach § 15 Abs. 2 der Verordnung TS Nr. 11/58 über einen Tarif für den Güternahverkehr mit Kraftfahrzeugen (GNT) vom 29. Dezember 1958 (BAnz 1959 Nr. 1) in der jeweils geltenden Fassung.</w:t>
      </w:r>
    </w:p>
    <w:p>
      <w:r>
        <w:t xml:space="preserve">(2) Die Ausübung der preisrechtlichen Befugnisse auf den Gebieten der Preisbildung, die in Absatz 1 nicht genannt sind, obliegt dem Staatsministerium für Wirtschaft und Arbeit.</w:t>
      </w:r>
    </w:p>
    <w:p>
      <w:r>
        <w:t xml:space="preserve">(3) Unberührt bleibt die Zuständigkeit zur Preisbildung auf den in Absatz 1 nicht genannten Gebieten, die nicht durch Rechtsvorschriften aufgrund des Preisgesetzes geregelt sind.</w:t>
      </w:r>
    </w:p>
    <w:p>
      <w:r>
        <w:rPr>
          <w:color w:val="555555"/>
          <w:sz w:val="17"/>
        </w:rPr>
        <w:t xml:space="preserve">Zitiervorschlag: § 1 ZVO-Preise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https://recht.nulegal.eu/gesetze/ZVO-Preise/1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