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ZVO-KCanG (Nordrhein-Westfalen) — Begrenzung von Anbauvereinigungen</w:t>
      </w:r>
    </w:p>
    <w:p>
      <w:r>
        <w:rPr>
          <w:color w:val="555555"/>
          <w:sz w:val="18"/>
        </w:rPr>
        <w:t xml:space="preserve">Zuständigkeitsverordnung Konsumcannabisgesetz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Anzahl der Erlaubnisse, die nach den §§ 11 bis 13 des Konsumcannabisgesetzes in einem Kreis oder einer kreisfreien Stadt erteilt werden dürfen, werden auf eine Anbauvereinigung je 6 000 Einwohnerinnen und Einwohner begrenzt. Als Bezugsgröße für die Begrenzung dient die zum Stichtag 1. Juli 2024 amtlich festgestellte Einwohnerzahl im jeweiligen Kreis- oder Stadtgebiet.</w:t>
      </w:r>
    </w:p>
    <w:p>
      <w:r>
        <w:rPr>
          <w:color w:val="555555"/>
          <w:sz w:val="17"/>
        </w:rPr>
        <w:t xml:space="preserve">Zitiervorschlag: § 4 ZVO-KCanG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https://recht.nulegal.eu/gesetze/ZVO-KCanG/4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