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ZVO-KCanG (Nordrhein-Westfalen) — Grundsätzliche Zuständigkeit der Bezirksregierung</w:t>
      </w:r>
    </w:p>
    <w:p>
      <w:r>
        <w:rPr>
          <w:color w:val="555555"/>
          <w:sz w:val="18"/>
        </w:rPr>
        <w:t xml:space="preserve">Zuständigkeitsverordnung Konsumcannabisgesetz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 im Sinne des Konsumcannabisgesetzes vom 27. März 2024 (BGBl. 2024 I Nr. 109, S. 2) ist die Bezirksregierung, soweit in dieser Verordnung oder in der Cannabisordnungswidrigkeitenverordnung vom 23. April 2024 (GV. NRW. S. 248) keine abweichenden Zuständigkeiten geregelt sind.</w:t>
      </w:r>
    </w:p>
    <w:p>
      <w:r>
        <w:t xml:space="preserve">(2) Zuständig für die Verfolgung und Ahndung von Ordnungswidrigkeiten nach § 36 Absatz 1 Nummer 6 bis 36 des Konsumcannabisgesetzes ist die Bezirksregierung, in deren Bezirk die Anbauvereinigung ihren Sitz hat.</w:t>
      </w:r>
    </w:p>
    <w:p>
      <w:r>
        <w:rPr>
          <w:color w:val="555555"/>
          <w:sz w:val="17"/>
        </w:rPr>
        <w:t xml:space="preserve">Zitiervorschlag: § 1 ZVO-KCanG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https://recht.nulegal.eu/gesetze/ZVO-KCanG/1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