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ZVO-IfSG (Nordrhein-Westfalen) — Bußgeldvorschriften</w:t>
      </w:r>
    </w:p>
    <w:p>
      <w:r>
        <w:rPr>
          <w:color w:val="555555"/>
          <w:sz w:val="18"/>
        </w:rPr>
        <w:t xml:space="preserve">Infektionsschutzzuständigkeitsverordnung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Zuständigkeit für die Verfolgung und Ahndung von Ordnungswidrigkeiten im Sinne des § 73 IfSG wird auf die gemäß der §§ 1 bis 8 jeweils zuständigen Behörden übertragen.</w:t>
      </w:r>
    </w:p>
    <w:p>
      <w:r>
        <w:rPr>
          <w:color w:val="555555"/>
          <w:sz w:val="17"/>
        </w:rPr>
        <w:t xml:space="preserve">Zitiervorschlag: § 9 ZVO-IfSG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https://recht.nulegal.eu/gesetze/ZVO-IfSG/9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