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ZVO-IfSG (Nordrhein-Westfalen) — Wasser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Behörden im Sinne des § 39 Absatz 2 IfSG sind die Kreise und kreisfreien Städte.</w:t>
      </w:r>
    </w:p>
    <w:p>
      <w:r>
        <w:t xml:space="preserve">(2) Zuständige oberste Landesbehörden im Sinne des § 40 Satz 3 IfSG sind die Ministerien für Gesundheit und Umwelt jeweils für ihren Aufgabenbereich.</w:t>
      </w:r>
    </w:p>
    <w:p>
      <w:r>
        <w:t xml:space="preserve">(3) Zuständige Behörden im Sinne des § 41 Absatz 1 IfSG sind die Kreise und kreisfreien Städte.</w:t>
      </w:r>
    </w:p>
    <w:p>
      <w:r>
        <w:rPr>
          <w:color w:val="555555"/>
          <w:sz w:val="17"/>
        </w:rPr>
        <w:t xml:space="preserve">Zitiervorschlag: § 5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