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ZVO-IfSG (Nordrhein-Westfalen) — Inkrafttreten</w:t>
      </w:r>
    </w:p>
    <w:p>
      <w:r>
        <w:rPr>
          <w:color w:val="555555"/>
          <w:sz w:val="18"/>
        </w:rPr>
        <w:t xml:space="preserve">Infektionsschutzzuständigkeitsverordnung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2023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Arbeit, Gesundheit und Soziales</w:t>
      </w:r>
    </w:p>
    <w:p>
      <w:r>
        <w:t xml:space="preserve">Die Ministerin für Heimat, Kommunales, Bau und Digitalisierung</w:t>
      </w:r>
    </w:p>
    <w:p>
      <w:r>
        <w:rPr>
          <w:color w:val="555555"/>
          <w:sz w:val="17"/>
        </w:rPr>
        <w:t xml:space="preserve">Zitiervorschlag: § 11 ZVO-IfSG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https://recht.nulegal.eu/gesetze/ZVO-IfSG/11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ZVO-IfSG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