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ZVO-IfSG (Nordrhein-Westfalen) — Übertragung der Ermächtigung für Rechtsverordnungen</w:t>
      </w:r>
    </w:p>
    <w:p>
      <w:r>
        <w:rPr>
          <w:color w:val="555555"/>
          <w:sz w:val="18"/>
        </w:rPr>
        <w:t xml:space="preserve">Infektionsschutzzuständigkeitsverordnung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der Landesregierung in § 15 Absatz 3, § 17 Absatz 4 und 5, § 28b Absatz 1, § 32 und § 35 Absatz 3 Satz 3 IfSG eingeräumten Ermächtigungen zum Erlass einer Rechtsverordnung werden auf das für Gesundheit zuständige Ministerium übertragen.</w:t>
      </w:r>
    </w:p>
    <w:p>
      <w:r>
        <w:rPr>
          <w:color w:val="555555"/>
          <w:sz w:val="17"/>
        </w:rPr>
        <w:t xml:space="preserve">Zitiervorschlag: § 10 ZVO-IfSG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https://recht.nulegal.eu/gesetze/ZVO-IfSG/10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