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ZVGEG</w:t>
      </w:r>
    </w:p>
    <w:p>
      <w:r>
        <w:rPr>
          <w:color w:val="555555"/>
          <w:sz w:val="18"/>
        </w:rPr>
        <w:t xml:space="preserve">Einführungsgesetz zu dem Gesetz über die Zwangsversteigerung und die Zwangsverwaltung</w:t>
      </w:r>
    </w:p>
    <w:p>
      <w:r>
        <w:rPr>
          <w:color w:val="555555"/>
          <w:sz w:val="18"/>
        </w:rPr>
        <w:t xml:space="preserve">Stand: 10.06.2019 (konsolidierte Textfassung, kein amtliches Inkrafttretensdatum)</w:t>
      </w:r>
    </w:p>
    <w:p>
      <w:r>
        <w:t xml:space="preserve">(1) In dem in Artikel 3 des Einigungsvertrages genannten Gebiet umfaßt die nach dem 31. Dezember 2000 angeordnete Beschlagnahme des Grundstücks auch das in Artikel 233 §§ 2b, 4 und 8 des Einführungsgesetzes zum Bürgerlichen Gesetzbuche bezeichnete Gebäudeeigentum. Nach Ablauf der in Satz 1 bezeichneten Frist erlöschen durch den Zuschlag auch die in Artikel 233 § 2c Abs. 2 des Einführungsgesetzes zum Bürgerlichen Gesetzbuche bezeichneten Ansprüche, es sei denn, daß für diese ein Vermerk im Grundbuch eingetragen ist oder diese im Verfahren nach Absatz 2 angemeldet worden sind. Satz 2 gilt für Ansprüche auf Rückübertragung nach dem Vermögensgesetz sinngemäß.</w:t>
      </w:r>
    </w:p>
    <w:p>
      <w:r>
        <w:t xml:space="preserve">(2) Dem Inhaber des Gebäudeeigentums stehen die in § 28 des Gesetzes über die Zwangsversteigerung und die Zwangsverwaltung bezeichneten Rechte zu. Die in Artikel 233 § 2c Abs. 2 des Einführungsgesetzes zum Bürgerlichen Gesetzbuche bezeichneten Ansprüche sind, sofern sie nicht in dem für das Grundstück angelegten Grundbuch vermerkt sind, spätestens im Versteigerungstermin vor der Aufforderung zur Abgabe von Angeboten anzumelden. § 3b Abs. 2 des Vermögensgesetzes bleibt unberührt.</w:t>
      </w:r>
    </w:p>
    <w:p>
      <w:r>
        <w:t xml:space="preserve">(3) Der Beschluß, durch den die Zwangsversteigerung angeordnet wird, ist dem Nutzer zuzustellen. Ist dieser nicht bekannt, so ist, wenn nicht ein Pfleger bestellt wird, auf Ersuchen des Gerichts in entsprechender Anwendung des Artikels 233 § 2 Abs. 3 des Einführungsgesetzes zum Bürgerlichen Gesetzbuche ein Vertreter zu bestellen. Ein Zwangsversteigerungsvermerk ist auch in ein bestehendes Gebäudegrundbuch für Gebäudeeigentum auf dem Grundstück einzutragen.</w:t>
      </w:r>
    </w:p>
    <w:p>
      <w:r>
        <w:rPr>
          <w:color w:val="555555"/>
          <w:sz w:val="17"/>
        </w:rPr>
        <w:t xml:space="preserve">Zitiervorschlag: § 9a ZVGEG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https://recht.nulegal.eu/gesetze/ZVGEG/9a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