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ZVGEG</w:t>
      </w:r>
    </w:p>
    <w:p>
      <w:r>
        <w:rPr>
          <w:color w:val="555555"/>
          <w:sz w:val="18"/>
        </w:rPr>
        <w:t xml:space="preserve">Einführungsgesetz zu dem Gesetz über die Zwangsversteigerung und die Zwangsverwaltung</w:t>
      </w:r>
    </w:p>
    <w:p>
      <w:r>
        <w:rPr>
          <w:color w:val="555555"/>
          <w:sz w:val="18"/>
        </w:rPr>
        <w:t xml:space="preserve">Stand: 10.06.2019 (konsolidierte Textfassung, kein amtliches Inkrafttretensdatum)</w:t>
      </w:r>
    </w:p>
    <w:p>
      <w:r>
        <w:t xml:space="preserve">(1) Soweit ein nach Landesgesetz begründetes Recht an einem Grundstück, das nicht in einer Hypothek besteht, zur Wirksamkeit gegen Dritte der Eintragung nicht bedarf oder soweit eine Dienstbarkeit oder eine Reallast als Leibgedinge, Leibzucht, Altenteil oder Auszug eingetragen ist, bleibt das Recht nach Maßgabe des Landesgesetzes von der Zwangsversteigerung unberührt, auch wenn es bei der Feststellung des geringsten Gebots nicht berücksichtigt ist.</w:t>
      </w:r>
    </w:p>
    <w:p>
      <w:r>
        <w:t xml:space="preserve">(2) Das Erlöschen eines solchen Rechts ist auf Verlangen eines Beteiligten als Versteigerungsbedingung zu bestimmen, wenn durch das Fortbestehen ein dem Recht vorgehendes oder gleichstehendes Recht des Beteiligten beeinträchtigt werden würde; die Zustimmung eines anderen Beteiligten ist nicht erforderlich.</w:t>
      </w:r>
    </w:p>
    <w:p>
      <w:r>
        <w:rPr>
          <w:color w:val="555555"/>
          <w:sz w:val="17"/>
        </w:rPr>
        <w:t xml:space="preserve">Zitiervorschlag: § 9 ZVGEG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https://recht.nulegal.eu/gesetze/ZVGEG/9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