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ZVGEG</w:t>
      </w:r>
    </w:p>
    <w:p>
      <w:r>
        <w:rPr>
          <w:color w:val="555555"/>
          <w:sz w:val="18"/>
        </w:rPr>
        <w:t xml:space="preserve">Einführungsgesetz zu dem Gesetz über die Zwangsversteigerung und die Zwangsverwaltung</w:t>
      </w:r>
    </w:p>
    <w:p>
      <w:r>
        <w:rPr>
          <w:color w:val="555555"/>
          <w:sz w:val="18"/>
        </w:rPr>
        <w:t xml:space="preserve">Stand: 10.06.2019 (konsolidierte Textfassung, kein amtliches Inkrafttretensdatum)</w:t>
      </w:r>
    </w:p>
    <w:p>
      <w:r>
        <w:t xml:space="preserve">Unberührt bleiben die bestehenden landesgesetzlichen Vorschriften, nach welchen noch andere als die in den §§ 39, 40 des Gesetzes über die Zwangsversteigerung und die Zwangsverwaltung bezeichneten Veröffentlichungen der Terminsbestimmung zu erfolgen haben.</w:t>
      </w:r>
    </w:p>
    <w:p>
      <w:r>
        <w:rPr>
          <w:color w:val="555555"/>
          <w:sz w:val="17"/>
        </w:rPr>
        <w:t xml:space="preserve">Zitiervorschlag: § 7 ZVGEG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