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Landesgesetz kann bestimmt werden, daß gewisse öffentliche Lasten anderen im Range vorgehen.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4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