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ZVGEG</w:t>
      </w:r>
    </w:p>
    <w:p>
      <w:r>
        <w:rPr>
          <w:color w:val="555555"/>
          <w:sz w:val="18"/>
        </w:rPr>
        <w:t xml:space="preserve">Einführungsgesetz zu dem Gesetz über die Zwangsversteigerung und die Zwangsverwaltung</w:t>
      </w:r>
    </w:p>
    <w:p>
      <w:r>
        <w:rPr>
          <w:color w:val="555555"/>
          <w:sz w:val="18"/>
        </w:rPr>
        <w:t xml:space="preserve">Stand: 10.06.2019 (konsolidierte Textfassung, kein amtliches Inkrafttretensdatum)</w:t>
      </w:r>
    </w:p>
    <w:p>
      <w:r>
        <w:t xml:space="preserve">Die im Artikel 113 des Einführungsgesetzes zum Bürgerlichen Gesetzbuch bezeichneten Vorschriften bleiben auch insoweit unberührt, als sie für den Anspruch des Entschädigungsberechtigten oder des Dritten, welcher die Entschädigung geleistet hat, ein Recht auf Befriedigung aus dem Grundstück gewähren und den Rang dieses Rechts bestimmen. Jedoch kann dem Anspruch auf Rückstände wiederkehrender Leistungen ein Vorrecht nur mit der im § 2 Abs. 2 bezeichneten Einschränkung beigelegt werden.</w:t>
      </w:r>
    </w:p>
    <w:p>
      <w:r>
        <w:rPr>
          <w:color w:val="555555"/>
          <w:sz w:val="17"/>
        </w:rPr>
        <w:t xml:space="preserve">Zitiervorschlag: § 3 ZVGEG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