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ZVGEG</w:t>
      </w:r>
    </w:p>
    <w:p>
      <w:r>
        <w:rPr>
          <w:color w:val="555555"/>
          <w:sz w:val="18"/>
        </w:rPr>
        <w:t xml:space="preserve">Einführungsgesetz zu dem 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in dem Einführungsgesetz zum Bürgerlichen Gesetzbuch zugunsten der Landesgesetze Vorbehalte gemacht sind, gelten sie auch für die Vorschriften der Landesgesetze über die Zwangsversteigerung und die Zwangsverwaltung.</w:t>
      </w:r>
    </w:p>
    <w:p>
      <w:r>
        <w:t xml:space="preserve">(2) Es treten jedoch die landesgesetzlichen Vorschriften außer Kraft, nach welchen den landschaftlichen und ritterschaftlichen Kreditanstalten für den Anspruch auf ältere als zweijährige Rückstände wiederkehrender Leistungen ein Vorrecht vor den im § 10 Nr. 1 bis 6 des Gesetzes über die Zwangsversteigerung und die Zwangsverwaltung bezeichneten Ansprüchen beigelegt ist.</w:t>
      </w:r>
    </w:p>
    <w:p>
      <w:r>
        <w:rPr>
          <w:color w:val="555555"/>
          <w:sz w:val="17"/>
        </w:rPr>
        <w:t xml:space="preserve">Zitiervorschlag: § 2 ZVGEG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https://recht.nulegal.eu/gesetze/ZVGEG/2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