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ZVGEG</w:t>
      </w:r>
    </w:p>
    <w:p>
      <w:r>
        <w:rPr>
          <w:color w:val="555555"/>
          <w:sz w:val="18"/>
        </w:rPr>
        <w:t xml:space="preserve">Einführungsgesetz zu dem Gesetz über die Zwangsversteigerung und die Zwangsverwaltung</w:t>
      </w:r>
    </w:p>
    <w:p>
      <w:r>
        <w:rPr>
          <w:color w:val="555555"/>
          <w:sz w:val="18"/>
        </w:rPr>
        <w:t xml:space="preserve">Stand: 10.06.2019 (konsolidierte Textfassung, kein amtliches Inkrafttretensdatum)</w:t>
      </w:r>
    </w:p>
    <w:p>
      <w:r>
        <w:t xml:space="preserve">Die Landesgesetze können für die Fälle, in welchen bei der Zwangsversteigerung oder der Zwangsverwaltung ein Aufgebotsverfahren erforderlich wird, die Art der Bekanntmachung des Aufgebots und die Aufgebotsfristen abweichend von den Vorschriften der §§ 435, 437 des Gesetzes über das Verfahren in Familiensachen und in den Angelegenheiten der freiwilligen Gerichtsbarkeit bestimmen.</w:t>
      </w:r>
    </w:p>
    <w:p>
      <w:r>
        <w:rPr>
          <w:color w:val="555555"/>
          <w:sz w:val="17"/>
        </w:rPr>
        <w:t xml:space="preserve">Zitiervorschlag: § 12 ZVGEG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https://recht.nulegal.eu/gesetze/ZVGEG/12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