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Erachtet das Beschwerdegericht eine Gegenerklärung für erforderlich, so hat es zu bestimmen, wer als Gegner des Beschwerdeführers zuzuziehen ist.</w:t>
      </w:r>
    </w:p>
    <w:p>
      <w:r>
        <w:t xml:space="preserve">(2) Mehrere Beschwerden sind miteinander zu verbinden.</w:t>
      </w:r>
    </w:p>
    <w:p>
      <w:r>
        <w:rPr>
          <w:color w:val="555555"/>
          <w:sz w:val="17"/>
        </w:rPr>
        <w:t xml:space="preserve">Zitiervorschlag: § 99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