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ZVG</w:t>
      </w:r>
    </w:p>
    <w:p>
      <w:r>
        <w:rPr>
          <w:color w:val="555555"/>
          <w:sz w:val="18"/>
        </w:rPr>
        <w:t xml:space="preserve">Gesetz über die Zwangsversteigerung und die Zwangsverwaltung</w:t>
      </w:r>
    </w:p>
    <w:p>
      <w:r>
        <w:rPr>
          <w:color w:val="555555"/>
          <w:sz w:val="18"/>
        </w:rPr>
        <w:t xml:space="preserve">Stand: 10.06.2019 (konsolidierte Textfassung, kein amtliches Inkrafttretensdatum)</w:t>
      </w:r>
    </w:p>
    <w:p>
      <w:r>
        <w:t xml:space="preserve">(1) Die Beschwerde steht im Falle der Erteilung des Zuschlags jedem Beteiligten sowie dem Ersteher und dem für zahlungspflichtig erklärten Dritten, im Falle der Versagung dem Gläubiger zu, in beiden Fällen auch dem Bieter, dessen Gebot nicht erloschen ist, sowie demjenigen, welcher nach § 81 an die Stelle des Bieters treten soll.</w:t>
      </w:r>
    </w:p>
    <w:p>
      <w:r>
        <w:t xml:space="preserve">(2) Im Falle des § 9 Nr. 2 genügt es, wenn die Anmeldung und Glaubhaftmachung des Rechts bei dem Beschwerdegericht erfolgt.</w:t>
      </w:r>
    </w:p>
    <w:p>
      <w:r>
        <w:rPr>
          <w:color w:val="555555"/>
          <w:sz w:val="17"/>
        </w:rPr>
        <w:t xml:space="preserve">Zitiervorschlag: § 97 ZVG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https://recht.nulegal.eu/gesetze/ZVG/97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