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Auf Antrag eines Beteiligten, der Befriedigung aus dem Bargebot zu erwarten hat, ist das Grundstück für Rechnung des Erstehers in gerichtliche Verwaltung zu nehmen, solange nicht die Zahlung oder Hinterlegung erfolgt ist. Der Antrag kann schon im Versteigerungstermin gestellt werden.</w:t>
      </w:r>
    </w:p>
    <w:p>
      <w:r>
        <w:t xml:space="preserve">(2) Auf die Bestellung des Verwalters sowie auf dessen Rechte und Pflichten finden die Vorschriften über die Zwangsverwaltung entsprechende Anwendung.</w:t>
      </w:r>
    </w:p>
    <w:p>
      <w:r>
        <w:rPr>
          <w:color w:val="555555"/>
          <w:sz w:val="17"/>
        </w:rPr>
        <w:t xml:space="preserve">Zitiervorschlag: § 94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