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Aus dem Beschluß, durch welchen der Zuschlag erteilt wird, findet gegen den Besitzer des Grundstücks oder einer mitversteigerten Sache die Zwangsvollstreckung auf Räumung und Herausgabe statt. Die Zwangsvollstreckung soll nicht erfolgen, wenn der Besitzer auf Grund eines Rechts besitzt, das durch den Zuschlag nicht erloschen ist. Erfolgt gleichwohl die Zwangsvollstreckung, so kann der Besitzer nach Maßgabe des § 771 der Zivilprozeßordnung Widerspruch erheben.</w:t>
      </w:r>
    </w:p>
    <w:p>
      <w:r>
        <w:t xml:space="preserve">(2) Zum Ersatz von Verwendungen, die vor dem Zuschlag gemacht sind, ist der Ersteher nicht verpflichtet.</w:t>
      </w:r>
    </w:p>
    <w:p>
      <w:r>
        <w:rPr>
          <w:color w:val="555555"/>
          <w:sz w:val="17"/>
        </w:rPr>
        <w:t xml:space="preserve">Zitiervorschlag: § 93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