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Erlischt durch den Zuschlag ein Recht, das nicht auf Zahlung eines Kapitals gerichtet ist, so tritt an die Stelle des Rechts der Anspruch auf Ersatz des Wertes aus dem Versteigerungserlös.</w:t>
      </w:r>
    </w:p>
    <w:p>
      <w:r>
        <w:t xml:space="preserve">(2) Der Ersatz für einen Nießbrauch, für eine beschränkte persönliche Dienstbarkeit sowie für eine Reallast von unbestimmter Dauer ist durch Zahlung einer Geldrente zu leisten, die dem Jahreswert des Rechts gleichkommt. Der Betrag ist für drei Monate vorauszuzahlen. Der Anspruch auf eine fällig gewordene Zahlung verbleibt dem Berechtigten auch dann, wenn das Recht auf die Rente vor dem Ablauf der drei Monate erlischt.</w:t>
      </w:r>
    </w:p>
    <w:p>
      <w:r>
        <w:t xml:space="preserve">(3) Bei ablösbaren Rechten bestimmt sich der Betrag der Ersatzleistung durch die Ablösungssumme.</w:t>
      </w:r>
    </w:p>
    <w:p>
      <w:r>
        <w:rPr>
          <w:color w:val="555555"/>
          <w:sz w:val="17"/>
        </w:rPr>
        <w:t xml:space="preserve">Zitiervorschlag: § 92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