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90 ZVG</w:t>
      </w:r>
    </w:p>
    <w:p>
      <w:r>
        <w:rPr>
          <w:color w:val="555555"/>
          <w:sz w:val="18"/>
        </w:rPr>
        <w:t xml:space="preserve">Gesetz über die Zwangsversteigerung und die Zwangsverwaltung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Durch den Zuschlag wird der Ersteher Eigentümer des Grundstücks, sofern nicht im Beschwerdewege der Beschluß rechtskräftig aufgehoben wird.</w:t>
      </w:r>
    </w:p>
    <w:p>
      <w:r>
        <w:t xml:space="preserve">(2) Mit dem Grundstück erwirbt er zugleich die Gegenstände, auf welche sich die Versteigerung erstreckt hat.</w:t>
      </w:r>
    </w:p>
    <w:p>
      <w:r>
        <w:rPr>
          <w:color w:val="555555"/>
          <w:sz w:val="17"/>
        </w:rPr>
        <w:t xml:space="preserve">Zitiervorschlag: § 90 ZVG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https://recht.nulegal.eu/gesetze/ZVG/90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