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Beschluß, durch welchen der Zuschlag erteilt oder versagt wird, ist in dem Versteigerungstermin oder in einem sofort zu bestimmenden Termin zu verkünden.</w:t>
      </w:r>
    </w:p>
    <w:p>
      <w:r>
        <w:t xml:space="preserve">(2) Der Verkündungstermin soll nicht über eine Woche hinaus bestimmt werden. Die Bestimmung des Termins ist zu verkünden und durch Anheftung an die Gerichtstafel bekanntzumachen.</w:t>
      </w:r>
    </w:p>
    <w:p>
      <w:r>
        <w:t xml:space="preserve">(3) Sind nachträglich Tatsachen oder Beweismittel vorgebracht, so sollen in dem Verkündungstermin die anwesenden Beteiligten hierüber gehört werden.</w:t>
      </w:r>
    </w:p>
    <w:p>
      <w:r>
        <w:rPr>
          <w:color w:val="555555"/>
          <w:sz w:val="17"/>
        </w:rPr>
        <w:t xml:space="preserve">Zitiervorschlag: § 87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