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85a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Der Zuschlag ist ferner zu versagen, wenn das abgegebene Meistgebot einschließlich des Kapitalwertes der nach den Versteigerungsbedingungen bestehenbleibenden Rechte die Hälfte des Grundstückswertes nicht erreicht.</w:t>
      </w:r>
    </w:p>
    <w:p>
      <w:r>
        <w:t xml:space="preserve">(2) § 74a Abs. 3, 5 ist entsprechend anzuwenden. In dem neuen Versteigerungstermin darf der Zuschlag weder aus den Gründen des Absatzes 1 noch aus denen des § 74a Abs. 1 versagt werden.</w:t>
      </w:r>
    </w:p>
    <w:p>
      <w:r>
        <w:t xml:space="preserve">(3) Ist das Meistgebot von einem zur Befriedigung aus dem Grundstück Berechtigten abgegeben worden, so ist Absatz 1 nicht anzuwenden, wenn das Gebot einschließlich des Kapitalwertes der nach den Versteigerungsbedingungen bestehenbleibenden Rechte zusammen mit dem Betrag, mit dem der Meistbietende bei der Verteilung des Erlöses ausfallen würde, die Hälfte des Grundstückswertes erreicht.</w:t>
      </w:r>
    </w:p>
    <w:p>
      <w:r>
        <w:rPr>
          <w:color w:val="555555"/>
          <w:sz w:val="17"/>
        </w:rPr>
        <w:t xml:space="preserve">Zitiervorschlag: § 85a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https://recht.nulegal.eu/gesetze/ZVG/85a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