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Der Zuschlag ist zu versagen, wenn vor dem Schluß der Verhandlung ein Beteiligter, dessen Recht durch den Zuschlag beeinträchtigt werden würde und der nicht zu den Berechtigten des § 74a Abs. 1 gehört, die Bestimmung eines neuen Versteigerungstermins beantragt und sich zugleich zum Ersatz des durch die Versagung des Zuschlags entstehenden Schadens verpflichtet, auch auf Verlangen eines anderen Beteiligten Sicherheit leistet. Die Vorschriften des § 67 Abs. 3 und des § 69 sind entsprechend anzuwenden. Die Sicherheit ist in Höhe des bis zum Verteilungstermin zu berichtigenden Teils des bisherigen Meistgebots zu leisten.</w:t>
      </w:r>
    </w:p>
    <w:p>
      <w:r>
        <w:t xml:space="preserve">(2) Die neue Terminsbestimmung ist auch dem Meistbietenden zuzustellen.</w:t>
      </w:r>
    </w:p>
    <w:p>
      <w:r>
        <w:t xml:space="preserve">(3) Für die weitere Versteigerung gilt das bisherige Meistgebot mit Zinsen von dem durch Zahlung zu berichtigenden Teil des Meistgebots unter Hinzurechnung derjenigen Mehrkosten, welche aus dem Versteigerungserlös zu entnehmen sind, als ein von dem Beteiligten abgegebenes Gebot.</w:t>
      </w:r>
    </w:p>
    <w:p>
      <w:r>
        <w:t xml:space="preserve">(4) In dem fortgesetzten Verfahren findet die Vorschrift des Absatzes 1 keine Anwendung.</w:t>
      </w:r>
    </w:p>
    <w:p>
      <w:r>
        <w:rPr>
          <w:color w:val="555555"/>
          <w:sz w:val="17"/>
        </w:rPr>
        <w:t xml:space="preserve">Zitiervorschlag: § 85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