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84 ZVG</w:t>
      </w:r>
    </w:p>
    <w:p>
      <w:r>
        <w:rPr>
          <w:color w:val="555555"/>
          <w:sz w:val="18"/>
        </w:rPr>
        <w:t xml:space="preserve">Gesetz über die Zwangsversteigerung und die Zwangsverwaltung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im § 83 Nr. 1 bis 5 bezeichneten Versagungsgründe stehen der Erteilung des Zuschlags nicht entgegen, wenn das Recht des Beteiligten durch den Zuschlag nicht beeinträchtigt wird oder wenn der Beteiligte das Verfahren genehmigt.</w:t>
      </w:r>
    </w:p>
    <w:p>
      <w:r>
        <w:t xml:space="preserve">(2) Die Genehmigung ist durch eine öffentlich beglaubigte Urkunde nachzuweisen.</w:t>
      </w:r>
    </w:p>
    <w:p>
      <w:r>
        <w:rPr>
          <w:color w:val="555555"/>
          <w:sz w:val="17"/>
        </w:rPr>
        <w:t xml:space="preserve">Zitiervorschlag: § 84 ZVG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https://recht.nulegal.eu/gesetze/ZVG/84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