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Der Zuschlag ist dem Meistbietenden zu erteilen.</w:t>
      </w:r>
    </w:p>
    <w:p>
      <w:r>
        <w:t xml:space="preserve">(2) Hat der Meistbietende das Recht aus dem Meistgebot an einen anderen abgetreten und dieser die Verpflichtung aus dem Meistgebot übernommen, so ist, wenn die Erklärungen im Versteigerungstermin abgegeben oder nachträglich durch öffentlich beglaubigte Urkunden nachgewiesen werden, der Zuschlag nicht dem Meistbietenden, sondern dem anderen zu erteilen.</w:t>
      </w:r>
    </w:p>
    <w:p>
      <w:r>
        <w:t xml:space="preserve">(3) Erklärt der Meistbietende im Termin oder nachträglich in einer öffentlich beglaubigten Urkunde, daß er für einen anderen geboten habe, so ist diesem der Zuschlag zu erteilen, wenn die Vertretungsmacht des Meistbietenden oder die Zustimmung des anderen entweder bei dem Gericht offenkundig ist oder durch eine öffentlich beglaubigte Urkunde nachgewiesen wird.</w:t>
      </w:r>
    </w:p>
    <w:p>
      <w:r>
        <w:t xml:space="preserve">(4) Wird der Zuschlag erteilt, so haften der Meistbietende und der Ersteher als Gesamtschuldner.</w:t>
      </w:r>
    </w:p>
    <w:p>
      <w:r>
        <w:rPr>
          <w:color w:val="555555"/>
          <w:sz w:val="17"/>
        </w:rPr>
        <w:t xml:space="preserve">Zitiervorschlag: § 81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