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Ist ein Gebot nicht abgegeben oder sind sämtliche Gebote erloschen, so wird das Verfahren einstweilen eingestellt.</w:t>
      </w:r>
    </w:p>
    <w:p>
      <w:r>
        <w:t xml:space="preserve">(2) Bleibt die Versteigerung in einem zweiten Termin gleichfalls ergebnislos, so wird das Verfahren aufgehoben. Liegen die Voraussetzungen für die Anordnung der Zwangsverwaltung vor, so kann auf Antrag des Gläubigers das Gericht anordnen, daß das Verfahren als Zwangsverwaltung fortgesetzt wird. In einem solchen Fall bleiben die Wirkungen der für die Zwangsversteigerung erfolgten Beschlagnahme bestehen; die Vorschrift des § 155 Abs. 1 findet jedoch auf die Kosten der Zwangsversteigerung keine Anwendung.</w:t>
      </w:r>
    </w:p>
    <w:p>
      <w:r>
        <w:rPr>
          <w:color w:val="555555"/>
          <w:sz w:val="17"/>
        </w:rPr>
        <w:t xml:space="preserve">Zitiervorschlag: § 77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