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74b ZVG</w:t>
      </w:r>
    </w:p>
    <w:p>
      <w:r>
        <w:rPr>
          <w:color w:val="555555"/>
          <w:sz w:val="18"/>
        </w:rPr>
        <w:t xml:space="preserve">Gesetz über die Zwangsversteigerung und die Zwangsverwaltung</w:t>
      </w:r>
    </w:p>
    <w:p>
      <w:r>
        <w:rPr>
          <w:color w:val="555555"/>
          <w:sz w:val="18"/>
        </w:rPr>
        <w:t xml:space="preserve">Stand: 17.12.2019 (konsolidierte Textfassung, kein amtliches Inkrafttretensdatum)</w:t>
      </w:r>
    </w:p>
    <w:p>
      <w:r>
        <w:t xml:space="preserve">Ist das Meistgebot von einem zur Befriedigung aus dem Grundstück Berechtigten abgegeben worden, so findet § 74a keine Anwendung, wenn das Gebot einschließlich des Kapitalwertes der nach den Versteigerungsbedingungen bestehenbleibenden Rechte zusammen mit dem Betrage, mit dem der Meistbietende bei der Verteilung des Erlöses ausfallen würde, sieben Zehnteile des Grundstückswertes erreicht und dieser Betrag im Range unmittelbar hinter dem letzten Betrage steht, der durch das Gebot noch gedeckt ist.</w:t>
      </w:r>
    </w:p>
    <w:p>
      <w:r>
        <w:rPr>
          <w:color w:val="555555"/>
          <w:sz w:val="17"/>
        </w:rPr>
        <w:t xml:space="preserve">Zitiervorschlag: § 74b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