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Gebot erlischt, wenn ein Übergebot zugelassen wird und ein Beteiligter der Zulassung nicht sofort widerspricht. Das Übergebot gilt als zugelassen, wenn es nicht sofort zurückgewiesen wird.</w:t>
      </w:r>
    </w:p>
    <w:p>
      <w:r>
        <w:t xml:space="preserve">(2) Ein Gebot erlischt auch dann, wenn es zurückgewiesen wird und der Bieter oder ein Beteiligter der Zurückweisung nicht sofort widerspricht.</w:t>
      </w:r>
    </w:p>
    <w:p>
      <w:r>
        <w:t xml:space="preserve">(3) Das gleiche gilt, wenn das Verfahren einstweilen eingestellt oder der Termin aufgehoben wird.</w:t>
      </w:r>
    </w:p>
    <w:p>
      <w:r>
        <w:t xml:space="preserve">(4) Ein Gebot erlischt nicht, wenn für ein zugelassenes Übergebot die nach § 68 Abs. 2 und 3 zu erbringende Sicherheitsleistung nicht bis zur Entscheidung über den Zuschlag geleistet worden ist.</w:t>
      </w:r>
    </w:p>
    <w:p>
      <w:r>
        <w:rPr>
          <w:color w:val="555555"/>
          <w:sz w:val="17"/>
        </w:rPr>
        <w:t xml:space="preserve">Zitiervorschlag: § 72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