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Ein unwirksames Gebot ist zurückzuweisen.</w:t>
      </w:r>
    </w:p>
    <w:p>
      <w:r>
        <w:t xml:space="preserve">(2) Ist die Wirksamkeit eines Gebots von der Vertretungsmacht desjenigen, welcher das Gebot für den Bieter abgegeben hat, oder von der Zustimmung eines anderen oder einer Behörde abhängig, so erfolgt die Zurückweisung, sofern nicht die Vertretungsmacht oder die Zustimmung bei dem Gericht offenkundig ist oder durch eine öffentlich beglaubigte Urkunde sofort nachgewiesen wird.</w:t>
      </w:r>
    </w:p>
    <w:p>
      <w:r>
        <w:rPr>
          <w:color w:val="555555"/>
          <w:sz w:val="17"/>
        </w:rPr>
        <w:t xml:space="preserve">Zitiervorschlag: § 71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