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Das Gericht hat über die Sicherheitsleistung sofort zu entscheiden.</w:t>
      </w:r>
    </w:p>
    <w:p>
      <w:r>
        <w:t xml:space="preserve">(2) Erklärt das Gericht die Sicherheit für erforderlich, so ist sie sofort zu leisten. Die Sicherheitsleistung durch Überweisung auf ein Konto der Gerichtskasse muss bereits vor dem Versteigerungstermin erfolgen. Unterbleibt die Leistung, so ist das Gebot zurückzuweisen.</w:t>
      </w:r>
    </w:p>
    <w:p>
      <w:r>
        <w:t xml:space="preserve">(3) Wird das Gebot ohne Sicherheitsleistung zugelassen und von dem Beteiligten, welcher die Sicherheit verlangt hat, nicht sofort Widerspruch erhoben, so gilt das Verlangen als zurückgenommen.</w:t>
      </w:r>
    </w:p>
    <w:p>
      <w:r>
        <w:rPr>
          <w:color w:val="555555"/>
          <w:sz w:val="17"/>
        </w:rPr>
        <w:t xml:space="preserve">Zitiervorschlag: § 70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