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An den Zustellungsvertreter erfolgen die Zustellungen, solange derjenige, welchem zugestellt werden soll, nicht ermittelt ist.</w:t>
      </w:r>
    </w:p>
    <w:p>
      <w:r>
        <w:t xml:space="preserve">(2) Der Zustellungsvertreter ist zur Ermittlung und Benachrichtigung des Vertretenen verpflichtet. Er kann von diesem eine Vergütung für seine Tätigkeit und Ersatz seiner Auslagen fordern. Über die Vergütung und die Erstattung der Auslagen entscheidet das Vollstreckungsgericht.</w:t>
      </w:r>
    </w:p>
    <w:p>
      <w:r>
        <w:t xml:space="preserve">(3) Für die Erstattung der Auslagen haftet der Gläubiger, soweit der Zustellungsvertreter von dem Vertretenen Ersatz nicht zu erlangen vermag; die dem Gläubiger zur Last fallenden Auslagen gehören zu den Kosten der die Befriedigung aus dem Grundstück bezweckenden Rechtsverfolgung.</w:t>
      </w:r>
    </w:p>
    <w:p>
      <w:r>
        <w:rPr>
          <w:color w:val="555555"/>
          <w:sz w:val="17"/>
        </w:rPr>
        <w:t xml:space="preserve">Zitiervorschlag: § 7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