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In dem Versteigerungstermin werden nach dem Aufruf der Sache die das Grundstück betreffenden Nachweisungen, die das Verfahren betreibenden Gläubiger, deren Ansprüche, die Zeit der Beschlagnahme, der vom Gericht festgesetzte Wert des Grundstücks und die erfolgten Anmeldungen bekanntgemacht, hierauf das geringste Gebot und die Versteigerungsbedingungen nach Anhörung der anwesenden Beteiligten, nötigenfalls mit Hilfe eines Rechnungsverständigen, unter Bezeichnung der einzelnen Rechte festgestellt und die erfolgten Feststellungen verlesen.</w:t>
      </w:r>
    </w:p>
    <w:p>
      <w:r>
        <w:t xml:space="preserve">(2) Nachdem dies geschehen, hat das Gericht auf die bevorstehende Ausschließung weiterer Anmeldungen hinzuweisen und sodann zur Abgabe von Geboten aufzufordern.</w:t>
      </w:r>
    </w:p>
    <w:p>
      <w:r>
        <w:rPr>
          <w:color w:val="555555"/>
          <w:sz w:val="17"/>
        </w:rPr>
        <w:t xml:space="preserve">Zitiervorschlag: § 66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