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Das Gericht kann auf Antrag anordnen, daß eine Forderung oder eine bewegliche Sache von der Versteigerung des Grundstücks ausgeschlossen und besonders versteigert werden soll. Auf Antrag kann auch eine andere Art der Verwertung angeordnet, insbesondere zur Einziehung einer Forderung ein Vertreter bestellt oder die Forderung einem Beteiligten mit dessen Zustimmung an Zahlungs Statt überwiesen werden. Die Vorschriften der §§ 817, 820, 835 der Zivilprozeßordnung finden entsprechende Anwendung. Der Erlös ist zu hinterlegen.</w:t>
      </w:r>
    </w:p>
    <w:p>
      <w:r>
        <w:t xml:space="preserve">(2) Die besondere Versteigerung oder die anderweitige Verwertung ist nur zulässig, wenn das geringste Gebot erreicht ist.</w:t>
      </w:r>
    </w:p>
    <w:p>
      <w:r>
        <w:rPr>
          <w:color w:val="555555"/>
          <w:sz w:val="17"/>
        </w:rPr>
        <w:t xml:space="preserve">Zitiervorschlag: § 65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