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57b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nach den Vorschriften des § 566b Abs. 1 und der §§ 566c, 566d des Bürgerlichen Gesetzbuchs für die Wirkung von Verfügungen und Rechtsgeschäften über die Miete oder Pacht der Übergang des Eigentums in Betracht kommt, ist an dessen Stelle die Beschlagnahme des Grundstücks maßgebend. Ist dem Mieter oder Pächter der Beschluß, durch den die Zwangsversteigerung angeordnet wird, zugestellt, so gilt mit der Zustellung die Beschlagnahme als dem Mieter oder Pächter bekannt; die Zustellung erfolgt auf Antrag des Gläubigers an die von ihm bezeichneten Personen. Dem Beschluß soll eine Belehrung über die Bedeutung der Beschlagnahme für den Mieter oder Pächter beigefügt werden. Das Gericht hat auf Antrag des Gläubigers zur Feststellung der Mieter und Pächter eines Grundstücks Ermittlungen zu veranlassen; es kann damit einen Gerichtsvollzieher oder einen sonstigen Beamten beauftragen, auch die zuständige örtliche Behörde um Mitteilung der ihr bekannten Mieter und Pächter ersuchen.</w:t>
      </w:r>
    </w:p>
    <w:p>
      <w:r>
        <w:t xml:space="preserve">(2) Der Beschlagnahme zum Zwecke der Zwangsversteigerung steht die Beschlagnahme zum Zwecke der Zwangsverwaltung gleich, wenn sie bis zum Zuschlag fortgedauert hat. Ist dem Mieter oder Pächter der Beschluß, durch den ihm verboten wird, an den Schuldner zu zahlen, zugestellt, so gilt mit der Zustellung die Beschlagnahme als dem Mieter oder Pächter bekannt.</w:t>
      </w:r>
    </w:p>
    <w:p>
      <w:r>
        <w:t xml:space="preserve">(3) Auf Verfügungen und Rechtsgeschäfte des Zwangsverwalters finden diese Vorschriften keine Anwendung.</w:t>
      </w:r>
    </w:p>
    <w:p>
      <w:r>
        <w:rPr>
          <w:color w:val="555555"/>
          <w:sz w:val="17"/>
        </w:rPr>
        <w:t xml:space="preserve">Zitiervorschlag: § 57b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