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Versteigerung des Grundstücks erstreckt sich auf alle Gegenstände, deren Beschlagnahme noch wirksam ist.</w:t>
      </w:r>
    </w:p>
    <w:p>
      <w:r>
        <w:t xml:space="preserve">(2) Auf Zubehörstücke, die sich im Besitz des Schuldners oder eines neu eingetretenen Eigentümers befinden, erstreckt sich die Versteigerung auch dann, wenn sie einem Dritten gehören, es sei denn, daß dieser sein Recht nach Maßgabe des § 37 Nr. 5 geltend gemacht hat.</w:t>
      </w:r>
    </w:p>
    <w:p>
      <w:r>
        <w:rPr>
          <w:color w:val="555555"/>
          <w:sz w:val="17"/>
        </w:rPr>
        <w:t xml:space="preserve">Zitiervorschlag: § 55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