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von dem Gläubiger dem Eigentümer oder von diesem dem Gläubiger erklärte Kündigung einer Hypothek, einer Grundschuld oder einer Rentenschuld ist dem Ersteher gegenüber nur wirksam, wenn sie spätestens in dem Versteigerungstermin vor der Aufforderung zur Abgabe von Geboten erfolgt und bei dem Gericht angemeldet worden ist.</w:t>
      </w:r>
    </w:p>
    <w:p>
      <w:r>
        <w:t xml:space="preserve">(2) Das gleiche gilt von einer aus dem Grundbuch nicht ersichtlichen Tatsache, in Folge deren der Anspruch vor der Zeit geltend gemacht werden kann.</w:t>
      </w:r>
    </w:p>
    <w:p>
      <w:r>
        <w:rPr>
          <w:color w:val="555555"/>
          <w:sz w:val="17"/>
        </w:rPr>
        <w:t xml:space="preserve">Zitiervorschlag: § 54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