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53 ZVG</w:t>
      </w:r>
    </w:p>
    <w:p>
      <w:r>
        <w:rPr>
          <w:color w:val="555555"/>
          <w:sz w:val="18"/>
        </w:rPr>
        <w:t xml:space="preserve">Gesetz über die Zwangsversteigerung und die Zwangsverwaltung</w:t>
      </w:r>
    </w:p>
    <w:p>
      <w:r>
        <w:rPr>
          <w:color w:val="555555"/>
          <w:sz w:val="18"/>
        </w:rPr>
        <w:t xml:space="preserve">Stand: 10.06.2019 (konsolidierte Textfassung, kein amtliches Inkrafttretensdatum)</w:t>
      </w:r>
    </w:p>
    <w:p>
      <w:r>
        <w:t xml:space="preserve">(1) Haftet bei einer Hypothek, die bestehenbleibt, der Schuldner zugleich persönlich, so übernimmt der Ersteher die Schuld in Höhe der Hypothek; die Vorschriften des § 416 des Bürgerlichen Gesetzbuchs finden mit der Maßgabe entsprechende Anwendung, daß als Veräußerer im Sinne dieser Vorschriften der Schuldner anzusehen ist.</w:t>
      </w:r>
    </w:p>
    <w:p>
      <w:r>
        <w:t xml:space="preserve">(2) Das gleiche gilt, wenn bei einer Grundschuld oder Rentenschuld, die bestehenbleibt, der Schuldner zugleich persönlich haftet, sofern er spätestens im Versteigerungstermin vor der Aufforderung zur Abgabe von Geboten die gegen ihn bestehende Forderung unter Angabe ihres Betrags und Grundes angemeldet und auf Verlangen des Gerichts oder eines Beteiligten glaubhaft gemacht hat.</w:t>
      </w:r>
    </w:p>
    <w:p>
      <w:r>
        <w:rPr>
          <w:color w:val="555555"/>
          <w:sz w:val="17"/>
        </w:rPr>
        <w:t xml:space="preserve">Zitiervorschlag: § 53 ZVG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https://recht.nulegal.eu/gesetze/ZVG/53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