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Ist das berücksichtigte Recht nicht eine Hypothek, Grundschuld oder Rentenschuld, so finden die Vorschriften des § 50 entsprechende Anwendung. Der Ersteher hat statt des Kapitals den Betrag, um welchen sich der Wert des Grundstücks erhöht, drei Monate nach erfolgter Kündigung zu zahlen und von dem Zuschlag an zu verzinsen.</w:t>
      </w:r>
    </w:p>
    <w:p>
      <w:r>
        <w:t xml:space="preserve">(2) Der Betrag soll von dem Gericht bei der Feststellung des geringsten Gebots bestimmt werden.</w:t>
      </w:r>
    </w:p>
    <w:p>
      <w:r>
        <w:rPr>
          <w:color w:val="555555"/>
          <w:sz w:val="17"/>
        </w:rPr>
        <w:t xml:space="preserve">Zitiervorschlag: § 51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