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ZVG</w:t>
      </w:r>
    </w:p>
    <w:p>
      <w:r>
        <w:rPr>
          <w:color w:val="555555"/>
          <w:sz w:val="18"/>
        </w:rPr>
        <w:t xml:space="preserve">Gesetz über die Zwangsversteigerung und die Zwangsverwaltung</w:t>
      </w:r>
    </w:p>
    <w:p>
      <w:r>
        <w:rPr>
          <w:color w:val="555555"/>
          <w:sz w:val="18"/>
        </w:rPr>
        <w:t xml:space="preserve">Stand: 28.12.2022 (konsolidierte Textfassung, kein amtliches Inkrafttretensdatum)</w:t>
      </w:r>
    </w:p>
    <w:p>
      <w:r>
        <w:t xml:space="preserve">(1) Der Teil des geringsten Gebots, welcher zur Deckung der Kosten sowie der im § 10 Nr. 1 bis 3 und im § 12 Nr. 1, 2 bezeichneten Ansprüche bestimmt ist, desgleichen der das geringste Gebot übersteigende Betrag des Meistgebots ist von dem Ersteher vor dem Verteilungstermin zu berichtigen (Bargebot).</w:t>
      </w:r>
    </w:p>
    <w:p>
      <w:r>
        <w:t xml:space="preserve">(2) Das Bargebot ist von dem Zuschlag an zu verzinsen.</w:t>
      </w:r>
    </w:p>
    <w:p>
      <w:r>
        <w:t xml:space="preserve">(3) Das Bargebot ist so rechtzeitig durch Überweisung auf ein Konto der Gerichtskasse zu entrichten, dass der Betrag der Gerichtskasse vor dem Verteilungstermin gutgeschrieben ist und ein Nachweis hierüber im Termin vorliegt.</w:t>
      </w:r>
    </w:p>
    <w:p>
      <w:r>
        <w:t xml:space="preserve">(4) Der Ersteher wird durch Hinterlegung von seiner Verbindlichkeit befreit, wenn die Hinterlegung und die Ausschließung der Rücknahme im Verteilungstermin nachgewiesen werden.</w:t>
      </w:r>
    </w:p>
    <w:p>
      <w:r>
        <w:rPr>
          <w:color w:val="555555"/>
          <w:sz w:val="17"/>
        </w:rPr>
        <w:t xml:space="preserve">Zitiervorschlag: § 49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