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ZVG</w:t>
      </w:r>
    </w:p>
    <w:p>
      <w:r>
        <w:rPr>
          <w:color w:val="555555"/>
          <w:sz w:val="18"/>
        </w:rPr>
        <w:t xml:space="preserve">Gesetz über die Zwangsversteigerung und die Zwangsverwaltung</w:t>
      </w:r>
    </w:p>
    <w:p>
      <w:r>
        <w:rPr>
          <w:color w:val="555555"/>
          <w:sz w:val="18"/>
        </w:rPr>
        <w:t xml:space="preserve">Stand: 17.12.2020 (konsolidierte Textfassung, kein amtliches Inkrafttretensdatum)</w:t>
      </w:r>
    </w:p>
    <w:p>
      <w:r>
        <w:t xml:space="preserve">(1) Ein Recht ist bei der Feststellung des geringsten Gebots insoweit, als es zur Zeit der Eintragung des Versteigerungsvermerks aus dem Grundbuch ersichtlich war, nach dem Inhalt des Grundbuchs, im übrigen nur dann zu berücksichtigen, wenn es rechtzeitig angemeldet und, falls der Gläubiger widerspricht, glaubhaft gemacht wird.</w:t>
      </w:r>
    </w:p>
    <w:p>
      <w:r>
        <w:t xml:space="preserve">(2) Von wiederkehrenden Leistungen, die nach dem Inhalt des Grundbuchs zu entrichten sind, brauchen die laufenden Beträge nicht angemeldet, die rückständigen nicht glaubhaft gemacht zu werden.</w:t>
      </w:r>
    </w:p>
    <w:p>
      <w:r>
        <w:t xml:space="preserve">(3) Ansprüche nach § 10 Abs. 1 Nr. 2 sind bei der Anmeldung durch einen entsprechenden Titel oder durch die Niederschrift der Beschlüsse einschließlich ihrer Anlagen oder in sonst geeigneter Weise glaubhaft zu machen. Aus dem Vorbringen müssen sich die Zahlungspflicht, die Art und der Bezugszeitraum des Anspruchs sowie seine Fälligkeit ergeben.</w:t>
      </w:r>
    </w:p>
    <w:p>
      <w:r>
        <w:rPr>
          <w:color w:val="555555"/>
          <w:sz w:val="17"/>
        </w:rPr>
        <w:t xml:space="preserve">Zitiervorschlag: § 45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