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Der Versteigerungstermin ist aufzuheben und von neuem zu bestimmen, wenn die Terminsbestimmung nicht sechs Wochen vor dem Termin bekanntgemacht ist. War das Verfahren einstweilen eingestellt, so reicht es aus, daß die Bekanntmachung der Terminsbestimmung zwei Wochen vor dem Termin bewirkt ist.</w:t>
      </w:r>
    </w:p>
    <w:p>
      <w:r>
        <w:t xml:space="preserve">(2) Das gleiche gilt, wenn nicht vier Wochen vor dem Termin dem Schuldner ein Beschluß, auf Grund dessen die Versteigerung erfolgen kann, und allen Beteiligten, die schon zur Zeit der Anberaumung des Termins dem Gericht bekannt waren, die Terminsbestimmung zugestellt ist, es sei denn, daß derjenige, in Ansehung dessen die Frist nicht eingehalten ist, das Verfahren genehmigt.</w:t>
      </w:r>
    </w:p>
    <w:p>
      <w:r>
        <w:rPr>
          <w:color w:val="555555"/>
          <w:sz w:val="17"/>
        </w:rPr>
        <w:t xml:space="preserve">Zitiervorschlag: § 43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