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Einsicht der Mitteilungen des Grundbuchamts sowie der erfolgten Anmeldungen ist jedem gestattet.</w:t>
      </w:r>
    </w:p>
    <w:p>
      <w:r>
        <w:t xml:space="preserve">(2) Das gleiche gilt von anderen das Grundstück betreffenden Nachweisungen, welche ein Beteiligter einreicht, insbesondere von Abschätzungen.</w:t>
      </w:r>
    </w:p>
    <w:p>
      <w:r>
        <w:rPr>
          <w:color w:val="555555"/>
          <w:sz w:val="17"/>
        </w:rPr>
        <w:t xml:space="preserve">Zitiervorschlag: § 42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