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Terminsbestimmung ist den Beteiligten zuzustellen.</w:t>
      </w:r>
    </w:p>
    <w:p>
      <w:r>
        <w:t xml:space="preserve">(2) Im Laufe der vierten Woche vor dem Termin soll den Beteiligten mitgeteilt werden, auf wessen Antrag und wegen welcher Ansprüche die Versteigerung erfolgt.</w:t>
      </w:r>
    </w:p>
    <w:p>
      <w:r>
        <w:t xml:space="preserve">(3) Als Beteiligte gelten auch diejenigen, welche das angemeldete Recht noch glaubhaft zu machen haben.</w:t>
      </w:r>
    </w:p>
    <w:p>
      <w:r>
        <w:rPr>
          <w:color w:val="555555"/>
          <w:sz w:val="17"/>
        </w:rPr>
        <w:t xml:space="preserve">Zitiervorschlag: § 41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