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Terminsbestimmung soll an die Gerichtstafel angeheftet werden. Ist das Gericht nach § 2 Abs. 2 zum Vollstreckungsgericht bestellt, so soll die Anheftung auch bei den übrigen Gerichten bewirkt werden. Wird der Termin nach § 39 Abs. 1 durch Veröffentlichung in einem für das Gericht bestimmten elektronischen Informations- und Kommunikationssystem öffentlich bekannt gemacht, so kann die Anheftung an die Gerichtstafel unterbleiben.</w:t>
      </w:r>
    </w:p>
    <w:p>
      <w:r>
        <w:t xml:space="preserve">(2) Das Gericht ist befugt, noch andere und wiederholte Veröffentlichungen zu veranlassen; bei der Ausübung dieser Befugnis ist insbesondere auf den Ortsgebrauch Rücksicht zu nehmen.</w:t>
      </w:r>
    </w:p>
    <w:p>
      <w:r>
        <w:rPr>
          <w:color w:val="555555"/>
          <w:sz w:val="17"/>
        </w:rPr>
        <w:t xml:space="preserve">Zitiervorschlag: § 40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